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1E75">
      <w:pPr>
        <w:ind w:firstLine="0"/>
        <w:rPr>
          <w:rFonts w:ascii="Arial" w:hAnsi="Arial" w:cs="Arial"/>
          <w:b/>
          <w:bCs/>
        </w:rPr>
      </w:pPr>
      <w:bookmarkStart w:id="0" w:name="_GoBack"/>
      <w:bookmarkEnd w:id="0"/>
    </w:p>
    <w:p w:rsidR="00000000" w:rsidRDefault="00CA1E75">
      <w:pPr>
        <w:widowControl/>
        <w:tabs>
          <w:tab w:val="left" w:pos="567"/>
        </w:tabs>
        <w:spacing w:line="240" w:lineRule="auto"/>
        <w:ind w:left="567" w:hanging="567"/>
        <w:jc w:val="center"/>
        <w:rPr>
          <w:rStyle w:val="dynamic-style-101"/>
          <w:color w:val="auto"/>
          <w:spacing w:val="0"/>
          <w:sz w:val="22"/>
          <w:szCs w:val="22"/>
        </w:rPr>
      </w:pPr>
      <w:r>
        <w:rPr>
          <w:rStyle w:val="dynamic-style-101"/>
          <w:b/>
          <w:bCs/>
          <w:color w:val="auto"/>
          <w:spacing w:val="0"/>
          <w:sz w:val="22"/>
          <w:szCs w:val="22"/>
        </w:rPr>
        <w:t>SZCZEGÓŁOWA SPECYFIKACJA TECHNICZNA</w:t>
      </w:r>
    </w:p>
    <w:p w:rsidR="00000000" w:rsidRDefault="00CA1E75">
      <w:pPr>
        <w:spacing w:line="240" w:lineRule="auto"/>
        <w:ind w:firstLine="0"/>
        <w:jc w:val="center"/>
      </w:pPr>
      <w:r>
        <w:rPr>
          <w:rStyle w:val="dynamic-style-101"/>
          <w:b/>
          <w:bCs/>
          <w:color w:val="auto"/>
          <w:spacing w:val="0"/>
          <w:sz w:val="22"/>
          <w:szCs w:val="22"/>
        </w:rPr>
        <w:t>WYKONANIA I ODBIORU ROBÓT BUDOWLANO-MONTAŻOWYCH</w:t>
      </w:r>
    </w:p>
    <w:p w:rsidR="00000000" w:rsidRDefault="00CA1E75">
      <w:pPr>
        <w:ind w:firstLine="0"/>
        <w:jc w:val="center"/>
        <w:rPr>
          <w:rFonts w:ascii="Arial" w:hAnsi="Arial" w:cs="Arial"/>
          <w:b/>
          <w:bCs/>
          <w:color w:val="auto"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000000" w:rsidRDefault="00CA1E75">
      <w:pPr>
        <w:spacing w:line="240" w:lineRule="auto"/>
        <w:ind w:left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PROJEKT  WYKONAWCZY </w:t>
      </w:r>
    </w:p>
    <w:p w:rsidR="00000000" w:rsidRDefault="00CA1E75">
      <w:pPr>
        <w:spacing w:line="240" w:lineRule="auto"/>
        <w:ind w:left="709"/>
        <w:jc w:val="center"/>
        <w:rPr>
          <w:rFonts w:ascii="Arial" w:hAnsi="Arial" w:cs="Arial"/>
          <w:b/>
          <w:bCs/>
          <w:sz w:val="36"/>
          <w:szCs w:val="36"/>
        </w:rPr>
      </w:pPr>
    </w:p>
    <w:p w:rsidR="00000000" w:rsidRDefault="00CA1E75">
      <w:pPr>
        <w:spacing w:line="240" w:lineRule="auto"/>
        <w:ind w:left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TARGOWISKO W  MAGNUSZEWIE</w:t>
      </w:r>
    </w:p>
    <w:p w:rsidR="00000000" w:rsidRDefault="00CA1E75">
      <w:pPr>
        <w:pStyle w:val="Nagwek5"/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000000" w:rsidRDefault="00CA1E75">
      <w:pPr>
        <w:widowControl/>
        <w:spacing w:after="75" w:line="240" w:lineRule="auto"/>
        <w:ind w:firstLine="0"/>
        <w:rPr>
          <w:rFonts w:ascii="Arial" w:hAnsi="Arial" w:cs="Arial"/>
          <w:b/>
          <w:bCs/>
        </w:rPr>
      </w:pPr>
    </w:p>
    <w:p w:rsidR="00000000" w:rsidRDefault="00CA1E75">
      <w:pPr>
        <w:pStyle w:val="Nagwek1"/>
        <w:rPr>
          <w:rStyle w:val="dynamic-style-61"/>
          <w:rFonts w:ascii="Arial" w:hAnsi="Arial" w:cs="Arial"/>
          <w:b w:val="0"/>
          <w:bCs w:val="0"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spacing w:val="0"/>
          <w:sz w:val="22"/>
          <w:szCs w:val="22"/>
        </w:rPr>
        <w:t xml:space="preserve">     INSTALACJE NISKOPRĄDOW</w:t>
      </w:r>
      <w:r>
        <w:rPr>
          <w:rStyle w:val="dynamic-style-61"/>
          <w:rFonts w:ascii="Arial" w:hAnsi="Arial" w:cs="Arial"/>
          <w:b w:val="0"/>
          <w:bCs w:val="0"/>
          <w:spacing w:val="0"/>
          <w:sz w:val="22"/>
          <w:szCs w:val="22"/>
        </w:rPr>
        <w:t>E</w:t>
      </w: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 w:cs="Arial"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5245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>Kod CPV:</w:t>
      </w:r>
    </w:p>
    <w:p w:rsidR="00000000" w:rsidRDefault="00CA1E75">
      <w:pPr>
        <w:widowControl/>
        <w:spacing w:after="75" w:line="240" w:lineRule="auto"/>
        <w:ind w:firstLine="5245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 xml:space="preserve">Grupa robót - </w:t>
      </w: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ab/>
        <w:t>45213330-5</w:t>
      </w:r>
    </w:p>
    <w:p w:rsidR="00000000" w:rsidRDefault="00CA1E75">
      <w:pPr>
        <w:widowControl/>
        <w:spacing w:after="75" w:line="240" w:lineRule="auto"/>
        <w:ind w:left="5245" w:firstLine="0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 xml:space="preserve">Klasa robót -  </w:t>
      </w: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ab/>
        <w:t>45310000-3</w:t>
      </w:r>
    </w:p>
    <w:p w:rsidR="00000000" w:rsidRDefault="00CA1E75">
      <w:pPr>
        <w:widowControl/>
        <w:spacing w:after="75" w:line="240" w:lineRule="auto"/>
        <w:ind w:left="5245" w:firstLine="0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 xml:space="preserve">Kategoria robót – </w:t>
      </w: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ab/>
        <w:t>45315100-9</w:t>
      </w:r>
    </w:p>
    <w:p w:rsidR="00000000" w:rsidRDefault="00CA1E75">
      <w:pPr>
        <w:widowControl/>
        <w:spacing w:after="75" w:line="240" w:lineRule="auto"/>
        <w:ind w:firstLine="0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ind w:firstLine="0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</w:p>
    <w:p w:rsidR="00000000" w:rsidRDefault="00CA1E75">
      <w:pPr>
        <w:widowControl/>
        <w:spacing w:after="75" w:line="240" w:lineRule="auto"/>
        <w:jc w:val="left"/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</w:pPr>
      <w:r>
        <w:rPr>
          <w:rStyle w:val="dynamic-style-61"/>
          <w:rFonts w:ascii="Arial" w:hAnsi="Arial" w:cs="Arial"/>
          <w:b/>
          <w:bCs/>
          <w:spacing w:val="0"/>
          <w:sz w:val="22"/>
          <w:szCs w:val="22"/>
        </w:rPr>
        <w:t>Opracował:</w:t>
      </w:r>
    </w:p>
    <w:p w:rsidR="00000000" w:rsidRDefault="00CA1E75">
      <w:pPr>
        <w:widowControl/>
        <w:tabs>
          <w:tab w:val="left" w:pos="567"/>
        </w:tabs>
        <w:spacing w:after="75"/>
        <w:ind w:left="567" w:hanging="567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inż. Jan Gremblicki</w:t>
      </w:r>
    </w:p>
    <w:p w:rsidR="00000000" w:rsidRDefault="00CA1E75">
      <w:pPr>
        <w:widowControl/>
        <w:tabs>
          <w:tab w:val="left" w:pos="567"/>
        </w:tabs>
        <w:spacing w:after="75"/>
        <w:ind w:left="567" w:hanging="567"/>
        <w:jc w:val="left"/>
        <w:rPr>
          <w:rFonts w:ascii="Arial" w:hAnsi="Arial" w:cs="Arial"/>
        </w:rPr>
      </w:pPr>
    </w:p>
    <w:p w:rsidR="00000000" w:rsidRDefault="00CA1E75">
      <w:pPr>
        <w:spacing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WSTĘP</w:t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jc w:val="lef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1.1 Przedmiot SST</w:t>
      </w:r>
    </w:p>
    <w:p w:rsidR="00000000" w:rsidRDefault="00CA1E75">
      <w:pPr>
        <w:widowControl/>
        <w:spacing w:line="240" w:lineRule="auto"/>
        <w:ind w:firstLine="0"/>
        <w:jc w:val="left"/>
        <w:rPr>
          <w:rFonts w:ascii="Arial" w:hAnsi="Arial" w:cs="Arial"/>
          <w:color w:val="auto"/>
          <w:u w:val="single"/>
        </w:rPr>
      </w:pPr>
    </w:p>
    <w:p w:rsidR="00000000" w:rsidRDefault="00CA1E75">
      <w:pPr>
        <w:widowControl/>
        <w:spacing w:line="240" w:lineRule="auto"/>
        <w:ind w:firstLine="0"/>
        <w:rPr>
          <w:rFonts w:ascii="Arial" w:hAnsi="Arial" w:cs="Arial"/>
          <w:b/>
          <w:bCs/>
          <w:color w:val="auto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Przedmiotem niniejszej szczegółowej specyfikacji technicznej (SST) są wymagania dotyczące wykonania i odbioru robót zwią</w:t>
      </w:r>
      <w:r>
        <w:rPr>
          <w:rStyle w:val="znormal1"/>
          <w:rFonts w:ascii="Arial" w:hAnsi="Arial" w:cs="Arial"/>
          <w:color w:val="auto"/>
          <w:sz w:val="22"/>
          <w:szCs w:val="22"/>
        </w:rPr>
        <w:t>zanych z instalacją niskoprądową w projektowanych obiektach Targowiska w Magnuszewie</w:t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jc w:val="lef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1.2. Zakres stosowania SST</w:t>
      </w: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Szczegółowa Specyfikacja Techniczna jest stosowana jako dokument przetargowy przy zlecaniu i realizacji robót wymienionych w pkt. 1.1.</w:t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lastRenderedPageBreak/>
        <w:t>1.3. Z</w:t>
      </w:r>
      <w:r>
        <w:rPr>
          <w:rStyle w:val="z11"/>
          <w:rFonts w:ascii="Arial" w:hAnsi="Arial" w:cs="Arial"/>
          <w:color w:val="auto"/>
          <w:sz w:val="22"/>
          <w:szCs w:val="22"/>
        </w:rPr>
        <w:t>akres robót objętych SST</w:t>
      </w:r>
    </w:p>
    <w:p w:rsidR="00000000" w:rsidRDefault="00CA1E75">
      <w:pPr>
        <w:widowControl/>
        <w:spacing w:line="240" w:lineRule="auto"/>
        <w:ind w:firstLine="0"/>
      </w:pP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Roboty, których dotyczy specyfikacja obejmują wszystkie czynności umożliwiające i mające na celu wykonanie instalacji niskoprądowych w pomieszczeniach Targowiska w Magnuszewie a mianowicie:</w:t>
      </w:r>
    </w:p>
    <w:p w:rsidR="00000000" w:rsidRDefault="00CA1E75">
      <w:pPr>
        <w:pStyle w:val="Akapitzlist"/>
        <w:widowControl/>
        <w:numPr>
          <w:ilvl w:val="0"/>
          <w:numId w:val="2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Portierni,</w:t>
      </w:r>
    </w:p>
    <w:p w:rsidR="00000000" w:rsidRDefault="00CA1E75">
      <w:pPr>
        <w:pStyle w:val="Akapitzlist"/>
        <w:widowControl/>
        <w:numPr>
          <w:ilvl w:val="0"/>
          <w:numId w:val="2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Wiata targowa</w:t>
      </w: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Zakres robót obejmuje: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instalacje sygnalizacji pożarowej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instalacje systemu sygnalizacji włamania i napadu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instalacje telewizji dozorowej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budowę kanalizacji teletechnicznej i sieci kablowej zewnętrznej</w:t>
      </w: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t>1.4. Określenia podstawowe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</w:rPr>
      </w:pP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Okreś</w:t>
      </w:r>
      <w:r>
        <w:rPr>
          <w:rStyle w:val="znormal1"/>
          <w:rFonts w:ascii="Arial" w:hAnsi="Arial" w:cs="Arial"/>
          <w:color w:val="auto"/>
          <w:sz w:val="22"/>
          <w:szCs w:val="22"/>
        </w:rPr>
        <w:t>lenia podane w niniejszej SST są zgodne z określeniami ujętymi w odpowiednich normach i przepisach, których zestawienie podano w punkcie 10 SST.</w:t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t>1.5. Ogólne wymagania dotyczące robót</w:t>
      </w:r>
    </w:p>
    <w:p w:rsidR="00000000" w:rsidRDefault="00CA1E75">
      <w:pPr>
        <w:widowControl/>
        <w:spacing w:line="240" w:lineRule="auto"/>
        <w:ind w:firstLine="0"/>
      </w:pPr>
    </w:p>
    <w:p w:rsidR="00000000" w:rsidRDefault="00CA1E75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Wykonawca jest odpowiedzialny za realizację robót zgodnie z dokumenta</w:t>
      </w:r>
      <w:r>
        <w:rPr>
          <w:rStyle w:val="znormal1"/>
          <w:rFonts w:ascii="Arial" w:hAnsi="Arial" w:cs="Arial"/>
          <w:color w:val="auto"/>
          <w:sz w:val="22"/>
          <w:szCs w:val="22"/>
        </w:rPr>
        <w:t>cją projektową, specyfikacją techniczną, poleceniami nadzoru autorskiego i inwestorskiego oraz zgodnie z art. 5, 22, 23 i 28 ustawy Prawo budowlane, “Warunkami technicznymi wykonania i odbioru robót budowlanych, część D: Roboty instalacyjne, zeszyt 2: Inst</w:t>
      </w:r>
      <w:r>
        <w:rPr>
          <w:rStyle w:val="znormal1"/>
          <w:rFonts w:ascii="Arial" w:hAnsi="Arial" w:cs="Arial"/>
          <w:color w:val="auto"/>
          <w:sz w:val="22"/>
          <w:szCs w:val="22"/>
        </w:rPr>
        <w:t>alacje elektryczne i piorunochronne w budynkach użyteczności publicznej” ITB, Warszawa 2004r.</w:t>
      </w:r>
    </w:p>
    <w:p w:rsidR="00000000" w:rsidRDefault="00CA1E75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Odstępstwa od projektu mogą dotyczyć jedynie dostosowania instalacji do wprowadzonych zmian konstrukcyjno-budowlanych, lub zastąpienia zaprojektowanych materiał</w:t>
      </w:r>
      <w:r>
        <w:rPr>
          <w:rStyle w:val="znormal1"/>
          <w:rFonts w:ascii="Arial" w:hAnsi="Arial" w:cs="Arial"/>
          <w:color w:val="auto"/>
          <w:sz w:val="22"/>
          <w:szCs w:val="22"/>
        </w:rPr>
        <w:t>ów – w przypadku niemożliwości ich uzyskania – przez inne materiały lub elementy o zbliżonych charakterystykach i trwałości. Wszelkie zmiany i odstępstwa od zatwierdzonej dokumentacji technicznej nie mogą powodować obniżenia wartości funkcjonalnych i użytk</w:t>
      </w:r>
      <w:r>
        <w:rPr>
          <w:rStyle w:val="znormal1"/>
          <w:rFonts w:ascii="Arial" w:hAnsi="Arial" w:cs="Arial"/>
          <w:color w:val="auto"/>
          <w:sz w:val="22"/>
          <w:szCs w:val="22"/>
        </w:rPr>
        <w:t>owych instalacji, a jeżeli dotyczą zamiany materiałów i elementów określonych w dokumentacji technicznej na inne, nie mogą powodować zmniejszenia trwałości eksploatacyjnej. Roboty montażowe należy realizować zgodnie z “Warunkami technicznymi wykonania i od</w:t>
      </w:r>
      <w:r>
        <w:rPr>
          <w:rStyle w:val="znormal1"/>
          <w:rFonts w:ascii="Arial" w:hAnsi="Arial" w:cs="Arial"/>
          <w:color w:val="auto"/>
          <w:sz w:val="22"/>
          <w:szCs w:val="22"/>
        </w:rPr>
        <w:t>bioru robót budowlanych, część D: Roboty instalacyjne, zeszyt 2: Instalacje elektryczne i piorunochronne w budynkach użyteczności publicznej</w:t>
      </w:r>
      <w:r>
        <w:rPr>
          <w:rStyle w:val="znormal1"/>
          <w:rFonts w:ascii="Arial" w:hAnsi="Arial" w:cs="Arial"/>
          <w:color w:val="auto"/>
        </w:rPr>
        <w:t xml:space="preserve">”, </w:t>
      </w:r>
      <w:r>
        <w:rPr>
          <w:rStyle w:val="znormal1"/>
          <w:rFonts w:ascii="Arial" w:hAnsi="Arial" w:cs="Arial"/>
          <w:color w:val="auto"/>
          <w:sz w:val="22"/>
          <w:szCs w:val="22"/>
        </w:rPr>
        <w:t>Polskimi Normami, oraz innymi przepisami dotyczącymi przedmiotowej instalacji.</w:t>
      </w: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</w:rPr>
      </w:pPr>
    </w:p>
    <w:p w:rsidR="00000000" w:rsidRDefault="00CA1E75">
      <w:pPr>
        <w:widowControl/>
        <w:spacing w:line="240" w:lineRule="auto"/>
        <w:ind w:firstLine="0"/>
        <w:rPr>
          <w:rStyle w:val="znormal1"/>
          <w:rFonts w:ascii="Arial" w:hAnsi="Arial" w:cs="Arial"/>
          <w:color w:val="auto"/>
        </w:rPr>
      </w:pPr>
    </w:p>
    <w:p w:rsidR="00000000" w:rsidRDefault="00CA1E75">
      <w:pPr>
        <w:pStyle w:val="Zwykytekst"/>
        <w:ind w:left="705" w:hanging="705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2. MATERIAŁY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rPr>
          <w:rFonts w:ascii="Arial" w:hAnsi="Arial" w:cs="Arial"/>
          <w:color w:val="auto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t>2.1. System sygna</w:t>
      </w:r>
      <w:r>
        <w:rPr>
          <w:rStyle w:val="z11"/>
          <w:rFonts w:ascii="Arial" w:hAnsi="Arial" w:cs="Arial"/>
          <w:color w:val="auto"/>
          <w:sz w:val="22"/>
          <w:szCs w:val="22"/>
        </w:rPr>
        <w:t>lizacji pożarowej</w:t>
      </w:r>
    </w:p>
    <w:p w:rsidR="00000000" w:rsidRDefault="00CA1E75">
      <w:pPr>
        <w:spacing w:line="240" w:lineRule="auto"/>
        <w:ind w:firstLine="0"/>
        <w:rPr>
          <w:rFonts w:ascii="Arial" w:hAnsi="Arial" w:cs="Arial"/>
          <w:color w:val="auto"/>
          <w:u w:val="single"/>
        </w:rPr>
      </w:pP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Centrala sygnalizacji pożarowej – analogowa, min. 4-cio pętlowa (po max 128 elementów na pętli), panel obsługi, drukarka wewnętrzna, zasilacz sieciowy i awaryjny na 72 godz dozoru i 30 min alarmu, karta wyjściowa przekaźnikowa 16</w:t>
      </w:r>
      <w:r>
        <w:rPr>
          <w:rFonts w:ascii="Arial" w:hAnsi="Arial" w:cs="Arial"/>
        </w:rPr>
        <w:noBreakHyphen/>
        <w:t>to wyjś</w:t>
      </w:r>
      <w:r>
        <w:rPr>
          <w:rFonts w:ascii="Arial" w:hAnsi="Arial" w:cs="Arial"/>
        </w:rPr>
        <w:t>ciowa szt.2, Panel wynośmy obsługi.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Czujka optyczna dymu (posiadająca dopuszczenie mn. Klasy C dla pożaru testowego TF1) w gnieździe adresowalnym.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Czujka temperatury różnicowo-nadmiarowa w gnieździe adresowalnym.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Ręczny ostrzegacz pożaru adresowalny.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Ręczn</w:t>
      </w:r>
      <w:r>
        <w:rPr>
          <w:rFonts w:ascii="Arial" w:hAnsi="Arial" w:cs="Arial"/>
        </w:rPr>
        <w:t>y ostrzegacz pożaru w wykonaniu zewnętrznym adresowalny.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Wskaźnik zadziałania czujki.</w:t>
      </w:r>
    </w:p>
    <w:p w:rsidR="00000000" w:rsidRDefault="00CA1E75">
      <w:pPr>
        <w:spacing w:line="240" w:lineRule="auto"/>
        <w:ind w:firstLine="0"/>
        <w:rPr>
          <w:rFonts w:ascii="Arial" w:hAnsi="Arial" w:cs="Arial"/>
        </w:rPr>
      </w:pP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t>2.4. System sygnalizacji włamania i napadu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</w:rPr>
      </w:pPr>
    </w:p>
    <w:p w:rsidR="00000000" w:rsidRDefault="00CA1E75">
      <w:pPr>
        <w:pStyle w:val="Nagwek"/>
        <w:tabs>
          <w:tab w:val="left" w:pos="708"/>
        </w:tabs>
      </w:pPr>
      <w:r>
        <w:t>Centrala systemu p. włamaniowego “INTEGRA64”</w:t>
      </w:r>
      <w:r>
        <w:t xml:space="preserve"> z zasilaczem APSI5 i akumulatorem 17Ah. Komputer do sterowania systemu DLOADx/GUAR Dx. Drukarka szeregowa. Ekspander wejściowy CA-64E</w:t>
      </w:r>
    </w:p>
    <w:p w:rsidR="00000000" w:rsidRDefault="00CA1E75">
      <w:pPr>
        <w:pStyle w:val="Nagwek"/>
        <w:tabs>
          <w:tab w:val="left" w:pos="708"/>
        </w:tabs>
      </w:pPr>
      <w:r>
        <w:t>Czujka podczerwieni pasywnej przestrzenna L=18m, z lustrem kurtynowym L=30m, czarne lustro typu “triplex”, pamięć alarmu,</w:t>
      </w:r>
      <w:r>
        <w:t xml:space="preserve"> klasa C PIE, certyfikat Vds.</w:t>
      </w:r>
    </w:p>
    <w:p w:rsidR="00000000" w:rsidRDefault="00CA1E75">
      <w:pPr>
        <w:pStyle w:val="Nagwek"/>
        <w:tabs>
          <w:tab w:val="left" w:pos="708"/>
        </w:tabs>
      </w:pPr>
      <w:r>
        <w:t>Czujnik otwarcia drzwi (kontaktron), z zaciskami-przyłączami śrubowymi, NC, kontakt otwarcia, biały plastik.</w:t>
      </w:r>
    </w:p>
    <w:p w:rsidR="00000000" w:rsidRDefault="00CA1E75">
      <w:pPr>
        <w:pStyle w:val="Nagwek"/>
        <w:tabs>
          <w:tab w:val="left" w:pos="708"/>
        </w:tabs>
      </w:pPr>
      <w:r>
        <w:t>Syrena alarmowa zewnętrzna “SATEL” SP-4003</w:t>
      </w:r>
    </w:p>
    <w:p w:rsidR="00000000" w:rsidRDefault="00CA1E75">
      <w:pPr>
        <w:ind w:firstLine="0"/>
      </w:pP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color w:val="auto"/>
          <w:sz w:val="22"/>
          <w:szCs w:val="22"/>
        </w:rPr>
      </w:pPr>
      <w:r>
        <w:rPr>
          <w:rStyle w:val="z11"/>
          <w:rFonts w:ascii="Arial" w:hAnsi="Arial" w:cs="Arial"/>
          <w:color w:val="auto"/>
          <w:sz w:val="22"/>
          <w:szCs w:val="22"/>
        </w:rPr>
        <w:t>2.5. System telewizji dozorowej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</w:rPr>
      </w:pPr>
    </w:p>
    <w:p w:rsidR="00000000" w:rsidRDefault="00CA1E75">
      <w:pPr>
        <w:pStyle w:val="Nagwek"/>
        <w:tabs>
          <w:tab w:val="left" w:pos="708"/>
        </w:tabs>
      </w:pPr>
      <w:r>
        <w:t xml:space="preserve">Rejestrator cyfrowy 16 kanałowy typ SRD </w:t>
      </w:r>
      <w:r>
        <w:t>1676 D</w:t>
      </w:r>
    </w:p>
    <w:p w:rsidR="00000000" w:rsidRDefault="00CA1E75">
      <w:pPr>
        <w:pStyle w:val="Nagwek"/>
        <w:tabs>
          <w:tab w:val="left" w:pos="708"/>
        </w:tabs>
      </w:pPr>
      <w:r>
        <w:t>Komputer PC z oprogramowaniem Windows XP</w:t>
      </w:r>
    </w:p>
    <w:p w:rsidR="00000000" w:rsidRDefault="00CA1E75">
      <w:pPr>
        <w:pStyle w:val="Nagwek"/>
        <w:tabs>
          <w:tab w:val="left" w:pos="708"/>
        </w:tabs>
      </w:pPr>
      <w:r>
        <w:t>Monitor kolorowy – szt. 12</w:t>
      </w:r>
    </w:p>
    <w:p w:rsidR="00000000" w:rsidRDefault="00CA1E75">
      <w:pPr>
        <w:pStyle w:val="Nagwek"/>
        <w:tabs>
          <w:tab w:val="left" w:pos="708"/>
        </w:tabs>
      </w:pPr>
      <w:r>
        <w:t>Drukarka</w:t>
      </w:r>
    </w:p>
    <w:p w:rsidR="00000000" w:rsidRDefault="00CA1E75">
      <w:pPr>
        <w:pStyle w:val="Nagwek"/>
        <w:tabs>
          <w:tab w:val="left" w:pos="708"/>
        </w:tabs>
      </w:pPr>
      <w:r>
        <w:t>Zespół przełączników do sterowania kamer</w:t>
      </w:r>
    </w:p>
    <w:p w:rsidR="00000000" w:rsidRDefault="00CA1E75">
      <w:pPr>
        <w:pStyle w:val="Nagwek"/>
        <w:tabs>
          <w:tab w:val="left" w:pos="708"/>
        </w:tabs>
      </w:pPr>
      <w:r>
        <w:t>Zespół zasilaczy 12V-4x1A prądu stałego</w:t>
      </w:r>
    </w:p>
    <w:p w:rsidR="00000000" w:rsidRDefault="00CA1E75">
      <w:pPr>
        <w:pStyle w:val="Nagwek"/>
        <w:tabs>
          <w:tab w:val="left" w:pos="708"/>
        </w:tabs>
      </w:pPr>
      <w:r>
        <w:t xml:space="preserve">Klawiatura drążkowa do zarządzania kamerami </w:t>
      </w:r>
    </w:p>
    <w:p w:rsidR="00000000" w:rsidRDefault="00CA1E75">
      <w:pPr>
        <w:pStyle w:val="Nagwek"/>
        <w:tabs>
          <w:tab w:val="left" w:pos="708"/>
        </w:tabs>
      </w:pPr>
      <w:r>
        <w:t>Kamera dzień/noc, zewnętrzna, typ SCB6003, w o</w:t>
      </w:r>
      <w:r>
        <w:t>budowie zewnętrznej, z uchwytem.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Nagwek"/>
        <w:tabs>
          <w:tab w:val="left" w:pos="708"/>
        </w:tabs>
        <w:rPr>
          <w:b/>
          <w:bCs/>
        </w:rPr>
      </w:pPr>
      <w:r>
        <w:rPr>
          <w:b/>
          <w:bCs/>
        </w:rPr>
        <w:t>2.6. Kanalizacja teletechniczna i siec kablowa zewnętrzna</w:t>
      </w:r>
    </w:p>
    <w:p w:rsidR="00000000" w:rsidRDefault="00CA1E75">
      <w:pPr>
        <w:pStyle w:val="Nagwek"/>
        <w:tabs>
          <w:tab w:val="left" w:pos="708"/>
        </w:tabs>
        <w:rPr>
          <w:b/>
          <w:bCs/>
        </w:rPr>
      </w:pPr>
    </w:p>
    <w:p w:rsidR="00000000" w:rsidRDefault="00CA1E75">
      <w:pPr>
        <w:pStyle w:val="Nagwek"/>
        <w:tabs>
          <w:tab w:val="left" w:pos="708"/>
        </w:tabs>
      </w:pPr>
      <w:r>
        <w:t>Studzienka kablowa teletechniczna SK1</w:t>
      </w:r>
    </w:p>
    <w:p w:rsidR="00000000" w:rsidRDefault="00CA1E75">
      <w:pPr>
        <w:pStyle w:val="Nagwek"/>
        <w:tabs>
          <w:tab w:val="left" w:pos="708"/>
        </w:tabs>
      </w:pPr>
      <w:r>
        <w:t>Rura PCV średnicy 100 mm</w:t>
      </w:r>
    </w:p>
    <w:p w:rsidR="00000000" w:rsidRDefault="00CA1E75">
      <w:pPr>
        <w:pStyle w:val="Nagwek"/>
        <w:tabs>
          <w:tab w:val="left" w:pos="708"/>
        </w:tabs>
      </w:pPr>
      <w:r>
        <w:t>Kabel teletechniczny YTKSY 3x2x0,8</w:t>
      </w:r>
    </w:p>
    <w:p w:rsidR="00000000" w:rsidRDefault="00CA1E75">
      <w:pPr>
        <w:pStyle w:val="Nagwek"/>
        <w:tabs>
          <w:tab w:val="left" w:pos="708"/>
        </w:tabs>
      </w:pPr>
      <w:r>
        <w:lastRenderedPageBreak/>
        <w:t>Kabel teletechniczny YnTKSY 1x2x0,8</w:t>
      </w:r>
    </w:p>
    <w:p w:rsidR="00000000" w:rsidRDefault="00CA1E75">
      <w:pPr>
        <w:pStyle w:val="Nagwek"/>
        <w:tabs>
          <w:tab w:val="left" w:pos="708"/>
        </w:tabs>
      </w:pPr>
      <w:r>
        <w:t>Kabel koncentryczny Rg59/75</w:t>
      </w:r>
      <w:r>
        <w:t>Ω</w:t>
      </w:r>
    </w:p>
    <w:p w:rsidR="00000000" w:rsidRDefault="00CA1E75">
      <w:pPr>
        <w:pStyle w:val="Nagwek"/>
        <w:tabs>
          <w:tab w:val="left" w:pos="708"/>
        </w:tabs>
      </w:pPr>
      <w:r>
        <w:t>Przewód energetyczny YDY2x2,5 mm</w:t>
      </w:r>
      <w:r>
        <w:rPr>
          <w:vertAlign w:val="superscript"/>
        </w:rPr>
        <w:t>2</w:t>
      </w:r>
    </w:p>
    <w:p w:rsidR="00000000" w:rsidRDefault="00CA1E7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Przewód energetyczny YDY 3x1,5 mm</w:t>
      </w:r>
      <w:r>
        <w:rPr>
          <w:rFonts w:ascii="Arial" w:hAnsi="Arial" w:cs="Arial"/>
          <w:vertAlign w:val="superscript"/>
        </w:rPr>
        <w:t>2</w:t>
      </w:r>
    </w:p>
    <w:p w:rsidR="00000000" w:rsidRDefault="00CA1E7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Przewód energetyczny YDY 2x1,5 mm</w:t>
      </w:r>
      <w:r>
        <w:rPr>
          <w:rFonts w:ascii="Arial" w:hAnsi="Arial" w:cs="Arial"/>
          <w:vertAlign w:val="superscript"/>
        </w:rPr>
        <w:t>2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3. SPRZĘT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color w:val="auto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Wykonawca jest zobowiązany do używania jedynie takiego sprzętu i maszyn, które nie spowodują niekorzystnego wpływu na jakość wykonywanych rob</w:t>
      </w:r>
      <w:r>
        <w:rPr>
          <w:rStyle w:val="znormal1"/>
          <w:rFonts w:ascii="Arial" w:hAnsi="Arial" w:cs="Arial"/>
          <w:color w:val="auto"/>
          <w:sz w:val="22"/>
          <w:szCs w:val="22"/>
        </w:rPr>
        <w:t>ót, zarówno w miejscu tych robót, jak też przy wykonywaniu czynności pomocniczych oraz w czasie transportu, załadunku i wyładunku materiałów.</w:t>
      </w: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t>4. TRANSPORT</w:t>
      </w:r>
    </w:p>
    <w:p w:rsidR="00000000" w:rsidRDefault="00CA1E75">
      <w:pPr>
        <w:pStyle w:val="Nagwek"/>
        <w:keepNext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Materiały na budowę powinny być przywożone odpowiednimi środkami transportu, zabezpieczone w sposób </w:t>
      </w:r>
      <w:r>
        <w:rPr>
          <w:rStyle w:val="znormal1"/>
          <w:rFonts w:ascii="Arial" w:hAnsi="Arial" w:cs="Arial"/>
          <w:color w:val="auto"/>
          <w:sz w:val="22"/>
          <w:szCs w:val="22"/>
        </w:rPr>
        <w:t>zapobiegający uszkodzeniu oraz zgodnie z przepisami BHP i ruchu drogowego.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widowControl/>
        <w:spacing w:line="240" w:lineRule="auto"/>
        <w:ind w:firstLine="0"/>
      </w:pPr>
      <w:r>
        <w:rPr>
          <w:rStyle w:val="z11"/>
          <w:rFonts w:ascii="Arial" w:hAnsi="Arial" w:cs="Arial"/>
          <w:color w:val="auto"/>
          <w:sz w:val="22"/>
          <w:szCs w:val="22"/>
        </w:rPr>
        <w:t>5. WYKONANIE ROBÓT</w:t>
      </w:r>
    </w:p>
    <w:p w:rsidR="00000000" w:rsidRDefault="00CA1E75">
      <w:pPr>
        <w:widowControl/>
        <w:spacing w:line="240" w:lineRule="auto"/>
        <w:ind w:firstLine="0"/>
        <w:rPr>
          <w:rStyle w:val="z11"/>
          <w:rFonts w:ascii="Arial" w:hAnsi="Arial" w:cs="Arial"/>
          <w:b w:val="0"/>
          <w:bCs w:val="0"/>
          <w:color w:val="auto"/>
          <w:sz w:val="22"/>
          <w:szCs w:val="22"/>
          <w:u w:val="single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Wykonawca przedstawi do akceptacji projekt organizacji i harmonogram robót uwzględniający wszystkie warunki, w jakich będą wykonywane roboty instalacyjne.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5.1</w:t>
      </w:r>
      <w:r>
        <w:rPr>
          <w:rStyle w:val="z11"/>
          <w:sz w:val="22"/>
          <w:szCs w:val="22"/>
        </w:rPr>
        <w:t>. Trasowanie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Trasa instalacji teletechnicznych powinna przebiegać bezkolizyjnie z innymi instalacjami i urządzeniami, powinna być przejrzysta, prosta i dostępna dla prawidłowej konserwacji oraz remontów. Wskazane jest, aby przebiegała w liniach poziomych </w:t>
      </w:r>
      <w:r>
        <w:rPr>
          <w:rStyle w:val="znormal1"/>
          <w:rFonts w:ascii="Arial" w:hAnsi="Arial" w:cs="Arial"/>
          <w:color w:val="auto"/>
          <w:sz w:val="22"/>
          <w:szCs w:val="22"/>
        </w:rPr>
        <w:t>i pionowych. Przebieg kanalizacji i sieci zewnętrznej musi by wykonana bezkolizyjnie z innymi urządzeniami podziemnymi powinna być prosta i przejrzysta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5.2. Montaż konstrukcji wsporczych oraz uchwytów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Konstrukcje wsporcze i uchwyty przewidziane do ułożen</w:t>
      </w:r>
      <w:r>
        <w:rPr>
          <w:rStyle w:val="znormal1"/>
          <w:rFonts w:ascii="Arial" w:hAnsi="Arial" w:cs="Arial"/>
          <w:color w:val="auto"/>
          <w:sz w:val="22"/>
          <w:szCs w:val="22"/>
        </w:rPr>
        <w:t>ia na nich instalacji teletechnicznych, bez względu na rodzaj instalacji, powinny być zamocowane do podłoża w sposób trwały, uwzględniający warunki lokalne i technologiczne, w jakich dana instalacja będzie pracować, oraz sam rodzaj instalacji.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lastRenderedPageBreak/>
        <w:t>5.3. Przejś</w:t>
      </w:r>
      <w:r>
        <w:rPr>
          <w:rStyle w:val="z11"/>
          <w:sz w:val="22"/>
          <w:szCs w:val="22"/>
        </w:rPr>
        <w:t>cia przez ściany i stropy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Przejścia przez ściany i stropy powinny spełniać następujące wymagania: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wszystkie przejścia obwodów instalacji elektrycznych przez ściany, stropy itp. muszą być chronione przed uszkodzeniami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przejścia te należy wykonywać w pr</w:t>
      </w:r>
      <w:r>
        <w:rPr>
          <w:rStyle w:val="znormal1"/>
          <w:rFonts w:ascii="Arial" w:hAnsi="Arial" w:cs="Arial"/>
          <w:color w:val="auto"/>
          <w:sz w:val="22"/>
          <w:szCs w:val="22"/>
        </w:rPr>
        <w:t>zepustach rurowych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przejścia pomiędzy pomieszczeniami o różnych atmosferach powinny być wykonywane w sposób szczelny, zapewniający nie przedostawanie się wyziewów</w:t>
      </w:r>
    </w:p>
    <w:p w:rsidR="00000000" w:rsidRDefault="00CA1E75">
      <w:pPr>
        <w:widowControl/>
        <w:numPr>
          <w:ilvl w:val="0"/>
          <w:numId w:val="3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obwody instalacji elektrycznych przechodząc przez podłogi muszą być chronione do wysokośc</w:t>
      </w:r>
      <w:r>
        <w:rPr>
          <w:rStyle w:val="znormal1"/>
          <w:rFonts w:ascii="Arial" w:hAnsi="Arial" w:cs="Arial"/>
          <w:color w:val="auto"/>
          <w:sz w:val="22"/>
          <w:szCs w:val="22"/>
        </w:rPr>
        <w:t>i bezpiecznej przed przypadkowymi uszkodzeniami. Jako osłony przed uszkodzeniami mechanicznymi należy stosować rury stalowe, rury z tworzyw sztucznych, korytka blaszane itp.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5.4. Montaż sprzętu i osprzętu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Sprzęt i osprzęt instalacyjny należy mocować do p</w:t>
      </w:r>
      <w:r>
        <w:rPr>
          <w:rStyle w:val="znormal1"/>
          <w:rFonts w:ascii="Arial" w:hAnsi="Arial" w:cs="Arial"/>
          <w:color w:val="auto"/>
          <w:sz w:val="22"/>
          <w:szCs w:val="22"/>
        </w:rPr>
        <w:t>odłoża w sposób trwały zapewniający mocne i bezpieczne jego osadzenie.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Do mocowania sprzętu i osprzętu mogą służyć konstrukcje wsporcze lub konsolki osadzone na podłożu, przyspawane do stalowych elementów konstrukcji budowlanych lub przykręcone do podłoża </w:t>
      </w:r>
      <w:r>
        <w:rPr>
          <w:rStyle w:val="znormal1"/>
          <w:rFonts w:ascii="Arial" w:hAnsi="Arial" w:cs="Arial"/>
          <w:color w:val="auto"/>
          <w:sz w:val="22"/>
          <w:szCs w:val="22"/>
        </w:rPr>
        <w:t>za pomocą kołków i śrub rozporowych oraz kołków wstrzeliwanych. Uchwyty (haki) dla opraw zwieszakowych montowane w stropach należy mocować przez wkręcanie w metalowy kołek rozporowy lub wbetonowanie. Nie dopuszcza się mocowania haków za pomocą kołków rozpo</w:t>
      </w:r>
      <w:r>
        <w:rPr>
          <w:rStyle w:val="znormal1"/>
          <w:rFonts w:ascii="Arial" w:hAnsi="Arial" w:cs="Arial"/>
          <w:color w:val="auto"/>
          <w:sz w:val="22"/>
          <w:szCs w:val="22"/>
        </w:rPr>
        <w:t>rowych z tworzywa sztucznego.</w:t>
      </w:r>
    </w:p>
    <w:p w:rsidR="00000000" w:rsidRDefault="00CA1E75">
      <w:pPr>
        <w:ind w:firstLine="0"/>
      </w:pP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5.5. Podejścia do odbiorników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Podejścia instalacji teletechnicznych do odbiorników należy wykonywać w miejscach bezkolizyjnych, bezpiecznych oraz w sposób estetyczny.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Podejścia do przewodów ułożonych w podłodze należ</w:t>
      </w:r>
      <w:r>
        <w:rPr>
          <w:rStyle w:val="znormal1"/>
          <w:rFonts w:ascii="Arial" w:hAnsi="Arial" w:cs="Arial"/>
          <w:color w:val="auto"/>
          <w:sz w:val="22"/>
          <w:szCs w:val="22"/>
        </w:rPr>
        <w:t>y wykonywać w rurach stalowych, zamocowanych pod powierzchnią podłogi, albo w specjalnie do tego celu przewidzianych kanałach. Rury i kanały muszą spełniać odpowiednie warunki wytrzymałościowe i być wyprowadzone ponad podłogę do wysokości koniecznej dla da</w:t>
      </w:r>
      <w:r>
        <w:rPr>
          <w:rStyle w:val="znormal1"/>
          <w:rFonts w:ascii="Arial" w:hAnsi="Arial" w:cs="Arial"/>
          <w:color w:val="auto"/>
          <w:sz w:val="22"/>
          <w:szCs w:val="22"/>
        </w:rPr>
        <w:t>nego odbiornika.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  <w:r>
        <w:rPr>
          <w:rStyle w:val="znormal1"/>
          <w:rFonts w:ascii="Arial" w:hAnsi="Arial" w:cs="Arial"/>
          <w:color w:val="auto"/>
          <w:sz w:val="22"/>
          <w:szCs w:val="22"/>
        </w:rPr>
        <w:t>Do odbiorników zasilanych od góry należy stosować podejścia zwieszakowe. Podejścia zwieszakowe należy wykonywać jako sztywne, lub elastyczne w zależności od warunków technologicznych i rodzaju wykonywanej instalacji.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Do odbiorników zamocow</w:t>
      </w:r>
      <w:r>
        <w:rPr>
          <w:rStyle w:val="znormal1"/>
          <w:rFonts w:ascii="Arial" w:hAnsi="Arial" w:cs="Arial"/>
          <w:color w:val="auto"/>
          <w:sz w:val="22"/>
          <w:szCs w:val="22"/>
        </w:rPr>
        <w:t>anych na ścianach, stropach lub konstrukcjach podejścia należy wykonywać przewodami ułożonymi na tych ścianach, stropach lub konstrukcjach budowlanych, a także na innego rodzaju podłożach np. kształtowniki, korytka itp.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</w:pPr>
      <w:r>
        <w:rPr>
          <w:rStyle w:val="z11"/>
          <w:sz w:val="22"/>
          <w:szCs w:val="22"/>
        </w:rPr>
        <w:t>5.6. Układanie przewodów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  <w:u w:val="single"/>
        </w:rPr>
      </w:pPr>
    </w:p>
    <w:p w:rsidR="00000000" w:rsidRDefault="00CA1E75">
      <w:pPr>
        <w:pStyle w:val="Nagwek"/>
        <w:tabs>
          <w:tab w:val="left" w:pos="708"/>
        </w:tabs>
        <w:rPr>
          <w:b/>
          <w:bCs/>
        </w:rPr>
      </w:pPr>
      <w:r>
        <w:rPr>
          <w:rStyle w:val="z11"/>
          <w:b w:val="0"/>
          <w:bCs w:val="0"/>
          <w:sz w:val="22"/>
          <w:szCs w:val="22"/>
          <w:u w:val="single"/>
        </w:rPr>
        <w:t>5.6.1. Pr</w:t>
      </w:r>
      <w:r>
        <w:rPr>
          <w:rStyle w:val="z11"/>
          <w:b w:val="0"/>
          <w:bCs w:val="0"/>
          <w:sz w:val="22"/>
          <w:szCs w:val="22"/>
          <w:u w:val="single"/>
        </w:rPr>
        <w:t>zewody instalacyjne teletechniczne w rurkach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  <w:u w:val="single"/>
        </w:rPr>
      </w:pPr>
      <w:r>
        <w:rPr>
          <w:rStyle w:val="znormal1"/>
          <w:rFonts w:ascii="Arial" w:hAnsi="Arial" w:cs="Arial"/>
          <w:color w:val="auto"/>
          <w:sz w:val="22"/>
          <w:szCs w:val="22"/>
          <w:u w:val="single"/>
        </w:rPr>
        <w:lastRenderedPageBreak/>
        <w:t>a)Układanie rur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Rury należy układać na przygotowanej i wytrasowanej trasie na uchwytach osadzonych w podłożu. Końce rur przed połączeniem powinny być pozbawione ostrych krawędzi. Zależnie od przyję</w:t>
      </w:r>
      <w:r>
        <w:rPr>
          <w:rStyle w:val="znormal1"/>
          <w:rFonts w:ascii="Arial" w:hAnsi="Arial" w:cs="Arial"/>
          <w:color w:val="auto"/>
          <w:sz w:val="22"/>
          <w:szCs w:val="22"/>
        </w:rPr>
        <w:t>tej technologii montażu i rodzaju tworzywa łączenie rur ze sobą oraz sprzętem i osprzętem należy wykonywać przez:</w:t>
      </w: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normal1"/>
          <w:rFonts w:ascii="Arial" w:hAnsi="Arial" w:cs="Arial"/>
          <w:sz w:val="22"/>
          <w:szCs w:val="22"/>
        </w:rPr>
        <w:t>wsuwanie w otwory lub kielichy z równoczesnym uszczelnianiem połączeń</w:t>
      </w: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normal1"/>
          <w:rFonts w:ascii="Arial" w:hAnsi="Arial" w:cs="Arial"/>
          <w:sz w:val="22"/>
          <w:szCs w:val="22"/>
        </w:rPr>
        <w:t>wkręcanie nagwintowanych końców rur</w:t>
      </w: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normal1"/>
          <w:rFonts w:ascii="Arial" w:hAnsi="Arial" w:cs="Arial"/>
          <w:sz w:val="22"/>
          <w:szCs w:val="22"/>
        </w:rPr>
        <w:t>wkręcanie nagrzanych końców ru</w:t>
      </w:r>
      <w:r>
        <w:rPr>
          <w:rStyle w:val="znormal1"/>
          <w:rFonts w:ascii="Arial" w:hAnsi="Arial" w:cs="Arial"/>
          <w:sz w:val="22"/>
          <w:szCs w:val="22"/>
        </w:rPr>
        <w:t>r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Łuki na rurach należy wykonywać tak aby spłaszczenie przekroju nie przekraczało 15% wewnętrznej średnicy. Promień gięcia powinien zapewniać swobodne wciąganie przewodów.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Cała instalacja rurowa powinna być wykonana ze spadkiem 0.1% aby umożliwić odprowadz</w:t>
      </w:r>
      <w:r>
        <w:rPr>
          <w:rStyle w:val="znormal1"/>
          <w:rFonts w:ascii="Arial" w:hAnsi="Arial" w:cs="Arial"/>
          <w:color w:val="auto"/>
          <w:sz w:val="22"/>
          <w:szCs w:val="22"/>
        </w:rPr>
        <w:t>enie wody powstałej z ewentualnej kondensacji. Zabrania się układania rur z wciągniętymi w nie przewodami.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  <w:u w:val="single"/>
        </w:rPr>
      </w:pPr>
      <w:r>
        <w:rPr>
          <w:rStyle w:val="znormal1"/>
          <w:rFonts w:ascii="Arial" w:hAnsi="Arial" w:cs="Arial"/>
          <w:color w:val="auto"/>
          <w:sz w:val="22"/>
          <w:szCs w:val="22"/>
          <w:u w:val="single"/>
        </w:rPr>
        <w:t>b)wciąganie przewodów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Przed przystąpieniem do wciągania przewodów należy sprawdzić prawidłowość wykonanego rurowania, zamocowania sprzętu i osprzętu</w:t>
      </w:r>
      <w:r>
        <w:rPr>
          <w:rStyle w:val="znormal1"/>
          <w:rFonts w:ascii="Arial" w:hAnsi="Arial" w:cs="Arial"/>
          <w:color w:val="auto"/>
          <w:sz w:val="22"/>
          <w:szCs w:val="22"/>
        </w:rPr>
        <w:t>, jego połączeń z rurami oraz przelotowość.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Wciąganie przewodów należy wykonać za pomocą specjalnego osprzętu montażowego. Nie wolno do tego celu stosować przewodów, które później zostaną użyte w instalacji. Łączenie przewodów wykonać wg wcześniej opisanyc</w:t>
      </w:r>
      <w:r>
        <w:rPr>
          <w:rStyle w:val="znormal1"/>
          <w:rFonts w:ascii="Arial" w:hAnsi="Arial" w:cs="Arial"/>
          <w:color w:val="auto"/>
          <w:sz w:val="22"/>
          <w:szCs w:val="22"/>
        </w:rPr>
        <w:t>h zasad.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000000" w:rsidRDefault="00CA1E75">
      <w:pPr>
        <w:pStyle w:val="Nagwek"/>
        <w:tabs>
          <w:tab w:val="left" w:pos="708"/>
        </w:tabs>
        <w:rPr>
          <w:b/>
          <w:bCs/>
          <w:u w:val="single"/>
        </w:rPr>
      </w:pPr>
      <w:r>
        <w:rPr>
          <w:rStyle w:val="z11"/>
          <w:b w:val="0"/>
          <w:bCs w:val="0"/>
          <w:sz w:val="22"/>
          <w:szCs w:val="22"/>
          <w:u w:val="single"/>
        </w:rPr>
        <w:t>5.6.2. Przewody instalacyjne ognioodporne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Przewody ognioodporne typu HDGs oraz HLGs montowane na:</w:t>
      </w:r>
    </w:p>
    <w:p w:rsidR="00000000" w:rsidRDefault="00CA1E75">
      <w:pPr>
        <w:pStyle w:val="BOMBA"/>
        <w:rPr>
          <w:rStyle w:val="z31"/>
          <w:rFonts w:ascii="Arial" w:hAnsi="Arial" w:cs="Arial"/>
          <w:sz w:val="22"/>
          <w:szCs w:val="22"/>
        </w:rPr>
      </w:pPr>
      <w:r>
        <w:rPr>
          <w:rStyle w:val="z31"/>
          <w:rFonts w:ascii="Arial" w:hAnsi="Arial" w:cs="Arial"/>
          <w:sz w:val="22"/>
          <w:szCs w:val="22"/>
        </w:rPr>
        <w:t>certyfikowanych uchwytach metalowych (ze stalowymi kołkami wkręcanymi) do stropu,</w:t>
      </w:r>
    </w:p>
    <w:p w:rsidR="00000000" w:rsidRDefault="00CA1E75">
      <w:pPr>
        <w:pStyle w:val="BOMBA"/>
        <w:rPr>
          <w:rStyle w:val="z31"/>
          <w:rFonts w:ascii="Arial" w:hAnsi="Arial" w:cs="Arial"/>
          <w:sz w:val="22"/>
          <w:szCs w:val="22"/>
        </w:rPr>
      </w:pPr>
      <w:r>
        <w:rPr>
          <w:rStyle w:val="z31"/>
          <w:rFonts w:ascii="Arial" w:hAnsi="Arial" w:cs="Arial"/>
          <w:sz w:val="22"/>
          <w:szCs w:val="22"/>
        </w:rPr>
        <w:t>w zbiorczych korytkach instalacyjnych pożarowych (certyfikowan</w:t>
      </w:r>
      <w:r>
        <w:rPr>
          <w:rStyle w:val="z31"/>
          <w:rFonts w:ascii="Arial" w:hAnsi="Arial" w:cs="Arial"/>
          <w:sz w:val="22"/>
          <w:szCs w:val="22"/>
        </w:rPr>
        <w:t>ych),</w:t>
      </w:r>
    </w:p>
    <w:p w:rsidR="00000000" w:rsidRDefault="00CA1E75">
      <w:pPr>
        <w:pStyle w:val="BOMBA"/>
        <w:rPr>
          <w:rStyle w:val="z31"/>
          <w:rFonts w:ascii="Arial" w:hAnsi="Arial" w:cs="Arial"/>
          <w:sz w:val="22"/>
          <w:szCs w:val="22"/>
        </w:rPr>
      </w:pPr>
      <w:r>
        <w:rPr>
          <w:rStyle w:val="z31"/>
          <w:rFonts w:ascii="Arial" w:hAnsi="Arial" w:cs="Arial"/>
          <w:sz w:val="22"/>
          <w:szCs w:val="22"/>
        </w:rPr>
        <w:t>w rurkach pod tynkiem.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  <w:u w:val="single"/>
        </w:rPr>
      </w:pPr>
      <w:r>
        <w:rPr>
          <w:rStyle w:val="z11"/>
          <w:b w:val="0"/>
          <w:bCs w:val="0"/>
          <w:sz w:val="22"/>
          <w:szCs w:val="22"/>
          <w:u w:val="single"/>
        </w:rPr>
        <w:t>5.6.3. Sposób prowadzenia instalacji</w:t>
      </w:r>
    </w:p>
    <w:p w:rsidR="00000000" w:rsidRDefault="00CA1E75">
      <w:pPr>
        <w:pStyle w:val="BOMBA"/>
        <w:rPr>
          <w:rStyle w:val="z41"/>
          <w:rFonts w:ascii="Arial" w:hAnsi="Arial" w:cs="Arial"/>
          <w:sz w:val="22"/>
          <w:szCs w:val="22"/>
        </w:rPr>
      </w:pPr>
      <w:r>
        <w:rPr>
          <w:rStyle w:val="z41"/>
          <w:rFonts w:ascii="Arial" w:hAnsi="Arial" w:cs="Arial"/>
          <w:sz w:val="22"/>
          <w:szCs w:val="22"/>
        </w:rPr>
        <w:t>Układanie przewodów na uchwytach: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na przygotowanej trasie należy zamontować uchwyty wg wcześniejszego opisu. Odległości od uchwytów nie powinny być wię</w:t>
      </w:r>
      <w:r>
        <w:rPr>
          <w:rStyle w:val="znormal1"/>
          <w:rFonts w:ascii="Arial" w:hAnsi="Arial" w:cs="Arial"/>
          <w:color w:val="auto"/>
          <w:sz w:val="22"/>
          <w:szCs w:val="22"/>
        </w:rPr>
        <w:t>ksze od 0,3 m w poziomie i 0.5 m w pionie. Rozstawienie uchwytów powinno być takie aby odległości między nimi ze względów estetycznych były jednakowe, uchwyty między innymi znajdowały się w pobliżu sprzętu i osprzętu do którego dany przewód jest wprowadzon</w:t>
      </w:r>
      <w:r>
        <w:rPr>
          <w:rStyle w:val="znormal1"/>
          <w:rFonts w:ascii="Arial" w:hAnsi="Arial" w:cs="Arial"/>
          <w:color w:val="auto"/>
          <w:sz w:val="22"/>
          <w:szCs w:val="22"/>
        </w:rPr>
        <w:t>y oraz aby zwisy przewodów pomiędzy uchwytami nie były widoczne.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41"/>
          <w:rFonts w:ascii="Arial" w:hAnsi="Arial" w:cs="Arial"/>
          <w:sz w:val="22"/>
          <w:szCs w:val="22"/>
        </w:rPr>
        <w:lastRenderedPageBreak/>
        <w:t>Wykonanie instalacji p.t. wymagać będzie: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ułożenia przewodów i zainstalowania osprzętu przed wykonaniem tynkowania. W przypadku wykonywania instalacji na istniejących ścianach niezbędne bę</w:t>
      </w:r>
      <w:r>
        <w:rPr>
          <w:rStyle w:val="znormal1"/>
          <w:rFonts w:ascii="Arial" w:hAnsi="Arial" w:cs="Arial"/>
          <w:color w:val="auto"/>
          <w:sz w:val="22"/>
          <w:szCs w:val="22"/>
        </w:rPr>
        <w:t>dzie wykucie odpowiednich bruzd pod przewody i ślepych wnęk pod osprzęt oraz ich zatynkowanie.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Przed wykonaniem instalacji jako szczelnej należy przewody i kable uszczelniać w osprzęcie oraz aparatach za pomocą dławików.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Średnica głowicy i otworu uszczelni</w:t>
      </w:r>
      <w:r>
        <w:rPr>
          <w:rStyle w:val="znormal1"/>
          <w:rFonts w:ascii="Arial" w:hAnsi="Arial" w:cs="Arial"/>
          <w:color w:val="auto"/>
          <w:sz w:val="22"/>
          <w:szCs w:val="22"/>
        </w:rPr>
        <w:t>ającego pierścienia powinna być dostosowana do średnicy zewnętrznej przewodu lub kabla.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41"/>
          <w:rFonts w:ascii="Arial" w:hAnsi="Arial" w:cs="Arial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 dokręceniu dławic zaleca się dodatkowe uszczelnienie ich za pomocą odpowiednich uszczelnień.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41"/>
          <w:rFonts w:ascii="Arial" w:hAnsi="Arial" w:cs="Arial"/>
          <w:sz w:val="22"/>
          <w:szCs w:val="22"/>
        </w:rPr>
        <w:t>Wykonanie instalacji w korytkach prefabrykowanych wymagać będzie: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41"/>
          <w:rFonts w:ascii="Arial" w:hAnsi="Arial" w:cs="Arial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zamontowania konstrukcji wsporczych dla korytek do istniejącego podłoża, ułożenie korytek na konstrukcjach wsporczych, ułożenie przewodów w korytku wraz z założeniem pokryw.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000000" w:rsidRDefault="00CA1E75">
      <w:pPr>
        <w:pStyle w:val="BOMBA"/>
        <w:rPr>
          <w:rFonts w:ascii="Arial" w:hAnsi="Arial" w:cs="Arial"/>
        </w:rPr>
      </w:pPr>
      <w:r>
        <w:rPr>
          <w:rStyle w:val="z41"/>
          <w:rFonts w:ascii="Arial" w:hAnsi="Arial" w:cs="Arial"/>
          <w:sz w:val="22"/>
          <w:szCs w:val="22"/>
        </w:rPr>
        <w:t>Wykonanie instalacji w kanałach PCW wymagać będzie: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41"/>
          <w:rFonts w:ascii="Arial" w:hAnsi="Arial" w:cs="Arial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zamontowania listwy PCW na </w:t>
      </w:r>
      <w:r>
        <w:rPr>
          <w:rStyle w:val="znormal1"/>
          <w:rFonts w:ascii="Arial" w:hAnsi="Arial" w:cs="Arial"/>
          <w:color w:val="auto"/>
          <w:sz w:val="22"/>
          <w:szCs w:val="22"/>
        </w:rPr>
        <w:t>ścianie lub stropie za pomocą kołków rozporowych przykręcanych do podłoża, ułożenie przewodów w listwie, zamocowanie pokrywy z założeniem pokrywy.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5.7. Łączenie przewodów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 instalacjach teletechnicznych łączenia przewodów należy dokonywać w sprzęcie i os</w:t>
      </w:r>
      <w:r>
        <w:rPr>
          <w:rStyle w:val="znormal1"/>
          <w:rFonts w:ascii="Arial" w:hAnsi="Arial" w:cs="Arial"/>
          <w:color w:val="auto"/>
          <w:sz w:val="22"/>
          <w:szCs w:val="22"/>
        </w:rPr>
        <w:t>przęcie instalacyjnym i w odbiornikach (np. czujkach). Nie wolno stosować połączeń skręcanych. W przypadku gdy odbiorniki teletechniczne mają wyprowadzone fabrycznie na zewnątrz przewody, a samo ich podłączenie do instalacji nie zostało opracowane w projek</w:t>
      </w:r>
      <w:r>
        <w:rPr>
          <w:rStyle w:val="znormal1"/>
          <w:rFonts w:ascii="Arial" w:hAnsi="Arial" w:cs="Arial"/>
          <w:color w:val="auto"/>
          <w:sz w:val="22"/>
          <w:szCs w:val="22"/>
        </w:rPr>
        <w:t>cie, sposób podłączenia należy uzgodnić z projektantem lub kompetentnym przedstawicielem Inwestora.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Przewody muszą być ułożone swobodnie i nie mogą być narażone na naciągi i dodatkowe naprężenia. Do danego zacisku należy przyłączyć przewody o rodzaju wykon</w:t>
      </w:r>
      <w:r>
        <w:rPr>
          <w:rStyle w:val="znormal1"/>
          <w:rFonts w:ascii="Arial" w:hAnsi="Arial" w:cs="Arial"/>
          <w:color w:val="auto"/>
          <w:sz w:val="22"/>
          <w:szCs w:val="22"/>
        </w:rPr>
        <w:t>ania, przekroju i liczbie dla jakich zacisk ten jest przygotowany.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 przypadku zastosowania zacisków, do których przewody są przyłączone za pomocą oczek, pomiędzy oczkiem a nakrętką oraz pomiędzy oczkami powinny znajdować się podkładki metalowe zabezpieczo</w:t>
      </w:r>
      <w:r>
        <w:rPr>
          <w:rStyle w:val="znormal1"/>
          <w:rFonts w:ascii="Arial" w:hAnsi="Arial" w:cs="Arial"/>
          <w:color w:val="auto"/>
          <w:sz w:val="22"/>
          <w:szCs w:val="22"/>
        </w:rPr>
        <w:t>ne przed korozją w sposób umożliwiający przepływ prądu. Długość odizolowanej żyły przewodu powinna za</w:t>
      </w:r>
      <w:r>
        <w:rPr>
          <w:rStyle w:val="znormal1"/>
          <w:rFonts w:ascii="Arial" w:hAnsi="Arial" w:cs="Arial"/>
          <w:color w:val="auto"/>
          <w:sz w:val="22"/>
          <w:szCs w:val="22"/>
        </w:rPr>
        <w:softHyphen/>
        <w:t>pew</w:t>
      </w:r>
      <w:r>
        <w:rPr>
          <w:rStyle w:val="znormal1"/>
          <w:rFonts w:ascii="Arial" w:hAnsi="Arial" w:cs="Arial"/>
          <w:color w:val="auto"/>
          <w:sz w:val="22"/>
          <w:szCs w:val="22"/>
        </w:rPr>
        <w:softHyphen/>
        <w:t>niać prawidłowe przyłączenie.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Zdejmowanie izolacji i oczyszczenie przewodu nie może powodować uszkodzeń mechanicznych. W przypadku stosowania żył ocyn</w:t>
      </w:r>
      <w:r>
        <w:rPr>
          <w:rStyle w:val="znormal1"/>
          <w:rFonts w:ascii="Arial" w:hAnsi="Arial" w:cs="Arial"/>
          <w:color w:val="auto"/>
          <w:sz w:val="22"/>
          <w:szCs w:val="22"/>
        </w:rPr>
        <w:t>owanych proces czyszczenia nie powinien uszkadzać warstwy cyny.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Końce przewodów miedzianych z żyłami wielodrutowymi (linek) powinny lecz zabezpieczone zaprasowanymi tulejkami lub ocynowane (zaleca się zastosowanie tulejek zamiast cynowania).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lastRenderedPageBreak/>
        <w:t>5.8. Przyłącz</w:t>
      </w:r>
      <w:r>
        <w:rPr>
          <w:rStyle w:val="z11"/>
          <w:sz w:val="22"/>
          <w:szCs w:val="22"/>
        </w:rPr>
        <w:t>anie odbiorników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Miejsca połączeń żył przewodów z zaciskami odbiorników powinny być dokładnie oczyszczone. Samo połączenie musi być wykonane w sposób pewny, pod względem elektrycznym i mechanicznym oraz zabezpieczone przed osłabieniem siły docisku, korozj</w:t>
      </w:r>
      <w:r>
        <w:rPr>
          <w:rStyle w:val="znormal1"/>
          <w:rFonts w:ascii="Arial" w:hAnsi="Arial" w:cs="Arial"/>
          <w:color w:val="auto"/>
          <w:sz w:val="22"/>
          <w:szCs w:val="22"/>
        </w:rPr>
        <w:t>ą itp.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Połączenia mogą być wykonywane jako sztywne lub elastyczne w zależności od konstrukcji odbiornika i warunków technologicznych. Przyłączenia sztywne należy wykonywać w rurach sztywnych wprowadzonych bezpośrednio do odbiorników oraz przewodami kabelko</w:t>
      </w:r>
      <w:r>
        <w:rPr>
          <w:rStyle w:val="znormal1"/>
          <w:rFonts w:ascii="Arial" w:hAnsi="Arial" w:cs="Arial"/>
          <w:color w:val="auto"/>
          <w:sz w:val="22"/>
          <w:szCs w:val="22"/>
        </w:rPr>
        <w:t>wymi i kablami.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  <w:r>
        <w:rPr>
          <w:rStyle w:val="znormal1"/>
          <w:rFonts w:ascii="Arial" w:hAnsi="Arial" w:cs="Arial"/>
          <w:color w:val="auto"/>
          <w:sz w:val="22"/>
          <w:szCs w:val="22"/>
        </w:rPr>
        <w:t>Połączenia elastyczne stosuje się gdy odbiorniki narażone są na drgania o dużej amplitudzie lub przystosowane są do przesunięć lub przemieszczeń. Połączenia te należy wykonać: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przewodami izolowanymi wielożyłowymi giętkimi lub oponowymi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przewodami izolowanymi jednożyłowymi w rurach elastycznych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przewodami izolowanymi wielożyłowymi giętkimi lub oponowymi w rurach elastycznych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5.9. Montaż szaf i central</w:t>
      </w:r>
    </w:p>
    <w:p w:rsidR="00000000" w:rsidRDefault="00CA1E75">
      <w:pPr>
        <w:pStyle w:val="Nagwek"/>
        <w:tabs>
          <w:tab w:val="left" w:pos="708"/>
        </w:tabs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Przed przystąpieniem do montażu urządzeń przykrę</w:t>
      </w:r>
      <w:r>
        <w:rPr>
          <w:rStyle w:val="znormal1"/>
          <w:rFonts w:ascii="Arial" w:hAnsi="Arial" w:cs="Arial"/>
          <w:color w:val="auto"/>
          <w:sz w:val="22"/>
          <w:szCs w:val="22"/>
        </w:rPr>
        <w:t>canych na konstrukcjach wsporczych dostarczanych oddzielnie należy konstrukcje te mocować do podłoża w sposób podany w dokumentacji.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Urządzenia skrzynkowe dostarczone na miejsce montażu wraz z przykręconą do nich konstrukcją wsporczą należy wstawić w przyg</w:t>
      </w:r>
      <w:r>
        <w:rPr>
          <w:rStyle w:val="znormal1"/>
          <w:rFonts w:ascii="Arial" w:hAnsi="Arial" w:cs="Arial"/>
          <w:color w:val="auto"/>
          <w:sz w:val="22"/>
          <w:szCs w:val="22"/>
        </w:rPr>
        <w:t>otowane otwory i zalać betonem.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</w:pPr>
      <w:r>
        <w:rPr>
          <w:rStyle w:val="znormal1"/>
          <w:rFonts w:ascii="Arial" w:hAnsi="Arial" w:cs="Arial"/>
          <w:color w:val="auto"/>
          <w:sz w:val="22"/>
          <w:szCs w:val="22"/>
        </w:rPr>
        <w:t>Tablice w obudowie naściennej lub zagłębionej należy przykręcać do kotew lub konstrukcji wsporczych zamocowanych w podłożu.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 zamontowaniu urządzenia należy: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zainstalować aparaty zdjęte na czas transportu i dostarczone w </w:t>
      </w:r>
      <w:r>
        <w:rPr>
          <w:rStyle w:val="znormal1"/>
          <w:rFonts w:ascii="Arial" w:hAnsi="Arial" w:cs="Arial"/>
          <w:color w:val="auto"/>
          <w:sz w:val="22"/>
          <w:szCs w:val="22"/>
        </w:rPr>
        <w:t>oddzielnych opakowaniach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dokręcić w sposób pewny wszystkie śruby i wkręty w połączeniach elektrycznych i mechanicznych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założyć osłony zdjęte w czasie montażu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podłączyć obwody zewnętrzne</w:t>
      </w:r>
    </w:p>
    <w:p w:rsidR="00000000" w:rsidRDefault="00CA1E75">
      <w:pPr>
        <w:pStyle w:val="BOMBA"/>
        <w:numPr>
          <w:ilvl w:val="0"/>
          <w:numId w:val="5"/>
        </w:numPr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podłączyć przewody ochronne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Szafy dystrybucyjne systemu sieci </w:t>
      </w:r>
      <w:r>
        <w:rPr>
          <w:rStyle w:val="znormal1"/>
          <w:rFonts w:ascii="Arial" w:hAnsi="Arial" w:cs="Arial"/>
          <w:color w:val="auto"/>
          <w:sz w:val="22"/>
          <w:szCs w:val="22"/>
        </w:rPr>
        <w:t>strukturalnej ustawiane na fabrycznych cokołach, i nie przykręcane do podłoża lub ścian.</w:t>
      </w:r>
    </w:p>
    <w:p w:rsidR="00000000" w:rsidRDefault="00CA1E75">
      <w:pPr>
        <w:ind w:firstLine="0"/>
      </w:pPr>
    </w:p>
    <w:p w:rsidR="00000000" w:rsidRDefault="00CA1E75">
      <w:pPr>
        <w:ind w:firstLine="0"/>
        <w:rPr>
          <w:b/>
          <w:bCs/>
        </w:rPr>
      </w:pPr>
      <w:r>
        <w:rPr>
          <w:b/>
          <w:bCs/>
        </w:rPr>
        <w:t>5.10. Kanalizacja kablowa teletechniczna i siec kablowa zewnętrzna</w:t>
      </w:r>
    </w:p>
    <w:p w:rsidR="00000000" w:rsidRDefault="00CA1E75">
      <w:pPr>
        <w:ind w:firstLine="0"/>
        <w:rPr>
          <w:b/>
          <w:bCs/>
        </w:rPr>
      </w:pPr>
    </w:p>
    <w:p w:rsidR="00000000" w:rsidRDefault="00CA1E7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5.10.1. Układanie rur i budowa studni</w:t>
      </w:r>
    </w:p>
    <w:p w:rsidR="00000000" w:rsidRDefault="00CA1E75">
      <w:pPr>
        <w:ind w:firstLine="0"/>
        <w:rPr>
          <w:rFonts w:ascii="Arial" w:hAnsi="Arial" w:cs="Arial"/>
        </w:rPr>
      </w:pPr>
    </w:p>
    <w:p w:rsidR="00000000" w:rsidRDefault="00CA1E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budowa studni będzie polegał</w:t>
      </w:r>
      <w:r>
        <w:rPr>
          <w:rFonts w:ascii="Arial" w:hAnsi="Arial" w:cs="Arial"/>
        </w:rPr>
        <w:t>a na ustawieniu prefabrykatu studni w gotowym wykopie. Rury należy układac w przygotowanym wykopie o głębokości 60 cm. Końce rur przed połączeniem powinny być pozbawione ostrych krawędzi. Łączenie rur ze sobą należy wykonać przez wsuwanie w otwory lub kiel</w:t>
      </w:r>
      <w:r>
        <w:rPr>
          <w:rFonts w:ascii="Arial" w:hAnsi="Arial" w:cs="Arial"/>
        </w:rPr>
        <w:t>ichy z równoczesnym uszczelnianiem połączeń. Łuki na na rurach należy wykonywa tak aby spłaszczenie przekroju nie przekraczało 15% wewnętrznej średnicy. Promień gięcia powinien zapewniać swobodne wciąganie przewodów. Cała instalacja rurowa powinna być wyko</w:t>
      </w:r>
      <w:r>
        <w:rPr>
          <w:rFonts w:ascii="Arial" w:hAnsi="Arial" w:cs="Arial"/>
        </w:rPr>
        <w:t>nana ze spadkiem 0,1% aby umożliwić odprowadzenie wody powstałej z ewentualnej kondensacji. Zabrania się układania rur z wciągniętymi w nie przewodami.</w:t>
      </w:r>
    </w:p>
    <w:p w:rsidR="00000000" w:rsidRDefault="00CA1E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Wciąganie przewodów i kabli. </w:t>
      </w:r>
    </w:p>
    <w:p w:rsidR="00000000" w:rsidRDefault="00CA1E75">
      <w:pPr>
        <w:pStyle w:val="Akapitzlist"/>
        <w:ind w:left="1065" w:firstLine="0"/>
        <w:rPr>
          <w:rFonts w:ascii="Arial" w:hAnsi="Arial" w:cs="Arial"/>
        </w:rPr>
      </w:pPr>
      <w:r>
        <w:rPr>
          <w:rFonts w:ascii="Arial" w:hAnsi="Arial" w:cs="Arial"/>
        </w:rPr>
        <w:t>Przed przystąpieniem do wciągania przewodów należy sprawdzic prawidłowo</w:t>
      </w:r>
      <w:r>
        <w:rPr>
          <w:rFonts w:ascii="Arial" w:hAnsi="Arial" w:cs="Arial"/>
        </w:rPr>
        <w:t>śc wykonanego rurowania, zamocowania połączeń oraz przelotowośc. Wciąganie przewodów należy wykonać za pomocą specjalnego osprzętu montażowego. Nie wolno do tego celu stosowa przewodów, które później zostaną użyte w instalacji. Łączenie przewodów wykonac w</w:t>
      </w:r>
      <w:r>
        <w:rPr>
          <w:rFonts w:ascii="Arial" w:hAnsi="Arial" w:cs="Arial"/>
        </w:rPr>
        <w:t>g wcześniej opisanych zasad</w:t>
      </w:r>
    </w:p>
    <w:p w:rsidR="00000000" w:rsidRDefault="00CA1E75">
      <w:pPr>
        <w:pStyle w:val="Akapitzlist"/>
        <w:ind w:left="1065" w:firstLine="0"/>
        <w:rPr>
          <w:rFonts w:ascii="Arial" w:hAnsi="Arial" w:cs="Arial"/>
        </w:rPr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5.11. Scenariusz pożarowy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</w:rPr>
      </w:pP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</w:rPr>
      </w:pPr>
      <w:r>
        <w:rPr>
          <w:rStyle w:val="znormal1"/>
          <w:sz w:val="22"/>
          <w:szCs w:val="22"/>
        </w:rPr>
        <w:t>Wykonawca wykona i uzgodni z rzeczoznawcą ds. ochrony pożarowej scenariusz pożarowy uwzględniający system sygnalizacji pożarowej.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5.12. Próby montażowe i rozruchowe</w:t>
      </w:r>
    </w:p>
    <w:p w:rsidR="00000000" w:rsidRDefault="00CA1E75">
      <w:pPr>
        <w:pStyle w:val="Nagwek"/>
        <w:tabs>
          <w:tab w:val="left" w:pos="708"/>
        </w:tabs>
        <w:rPr>
          <w:rStyle w:val="z11"/>
          <w:b w:val="0"/>
          <w:bCs w:val="0"/>
          <w:sz w:val="22"/>
          <w:szCs w:val="22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 zakończeniu robót należ</w:t>
      </w:r>
      <w:r>
        <w:rPr>
          <w:rStyle w:val="znormal1"/>
          <w:rFonts w:ascii="Arial" w:hAnsi="Arial" w:cs="Arial"/>
          <w:color w:val="auto"/>
          <w:sz w:val="22"/>
          <w:szCs w:val="22"/>
        </w:rPr>
        <w:t>y przeprowadzić próby montażowe i rozruchowe obejmujące badania i pomiary. Zakres prób montażowych należy uzgodnić z inwestorem. Zakres podstawowych prób obejmuje: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pomiar rezystancji izolacji instalacji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pomiar rezystancji izolacji odbiorników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pomiary</w:t>
      </w: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 impedancji pętli zwarciowych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pomiary rezystancji uziemień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Zakres prób rozruchowych należy uzgodnić z inwestorem lub odpowiednimi służbami. Zakres podstawowych prób obejmuje: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kontrolę poprawności działania poszczególnych urządzeń i parametrów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kontrol</w:t>
      </w:r>
      <w:r>
        <w:rPr>
          <w:rStyle w:val="znormal1"/>
          <w:rFonts w:ascii="Arial" w:hAnsi="Arial" w:cs="Arial"/>
          <w:color w:val="auto"/>
          <w:sz w:val="22"/>
          <w:szCs w:val="22"/>
        </w:rPr>
        <w:t>ę współpracy poszczególnych systemów, szczególnie w ramach systemu pożarowego,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lastRenderedPageBreak/>
        <w:t>6. Kontrola jakości robót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b/>
          <w:bCs/>
          <w:color w:val="auto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Sprawdzenie i odbiór robót powinno być wykonane zgodnie z normami [4], [5] i przepisami [6].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Sprawdzeniu i kontroli w czasie wykonywania robót oraz p</w:t>
      </w:r>
      <w:r>
        <w:rPr>
          <w:rStyle w:val="znormal1"/>
          <w:rFonts w:ascii="Arial" w:hAnsi="Arial" w:cs="Arial"/>
          <w:color w:val="auto"/>
          <w:sz w:val="22"/>
          <w:szCs w:val="22"/>
        </w:rPr>
        <w:t>o ich zakończeniu powinno podlegać: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zgodność wykonania robót z dokumentacją projektową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</w:pPr>
      <w:r>
        <w:rPr>
          <w:rStyle w:val="znormal1"/>
          <w:rFonts w:ascii="Arial" w:hAnsi="Arial" w:cs="Arial"/>
          <w:color w:val="auto"/>
          <w:sz w:val="22"/>
          <w:szCs w:val="22"/>
        </w:rPr>
        <w:t>właściwe podłączenie przewodów do odbiorników i urządzeń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kontrola zadziałania poszczególnych systemów 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wykonanie pomiarów zadymienia czujek, pomiarów elektryczny</w:t>
      </w:r>
      <w:r>
        <w:rPr>
          <w:rStyle w:val="znormal1"/>
          <w:rFonts w:ascii="Arial" w:hAnsi="Arial" w:cs="Arial"/>
          <w:color w:val="auto"/>
          <w:sz w:val="22"/>
          <w:szCs w:val="22"/>
        </w:rPr>
        <w:t>ch (rezystancji uziemienia, izolacji), z przekazaniem wyników do protokołu odbioru.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t>7. Obmiar robót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b/>
          <w:bCs/>
          <w:color w:val="auto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Obmiar robót obejmuje całość instalacji elektroenergetycznych.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Jednostką obmiarową jest komplet robót.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t>8. Odbiór robót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color w:val="auto"/>
        </w:rPr>
      </w:pP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Odbiór robót zanikają</w:t>
      </w:r>
      <w:r>
        <w:rPr>
          <w:rStyle w:val="znormal1"/>
          <w:rFonts w:ascii="Arial" w:hAnsi="Arial" w:cs="Arial"/>
          <w:color w:val="auto"/>
          <w:sz w:val="22"/>
          <w:szCs w:val="22"/>
        </w:rPr>
        <w:t>cych i ulegających zakryciu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Odbiory częściowe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Odbiory końcowe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Odbiory ostateczne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t>9. Rozliczenie robót</w:t>
      </w:r>
    </w:p>
    <w:p w:rsidR="00000000" w:rsidRDefault="00CA1E75">
      <w:pPr>
        <w:spacing w:line="240" w:lineRule="auto"/>
        <w:ind w:left="540" w:hanging="540"/>
        <w:rPr>
          <w:rFonts w:ascii="Arial" w:hAnsi="Arial" w:cs="Arial"/>
          <w:b/>
          <w:bCs/>
          <w:color w:val="auto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Podstawę płatności stanowi komplet wykonanych robót, pomiarów pomontażowych oraz protokołów odbiorowych.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rPr>
          <w:rStyle w:val="znormal1"/>
          <w:rFonts w:ascii="Arial" w:hAnsi="Arial" w:cs="Arial"/>
          <w:color w:val="auto"/>
          <w:sz w:val="22"/>
          <w:szCs w:val="22"/>
        </w:rPr>
      </w:pPr>
    </w:p>
    <w:p w:rsidR="00000000" w:rsidRDefault="00CA1E75">
      <w:pPr>
        <w:keepNext/>
        <w:widowControl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color w:val="auto"/>
        </w:rPr>
        <w:t>10. Przepisy związane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b/>
          <w:bCs/>
        </w:rPr>
      </w:pPr>
      <w:r>
        <w:rPr>
          <w:rStyle w:val="z11"/>
          <w:sz w:val="22"/>
          <w:szCs w:val="22"/>
        </w:rPr>
        <w:t>10.1. Normy</w:t>
      </w:r>
    </w:p>
    <w:p w:rsidR="00000000" w:rsidRDefault="00CA1E75">
      <w:pPr>
        <w:widowControl/>
        <w:spacing w:line="240" w:lineRule="auto"/>
        <w:ind w:firstLine="0"/>
        <w:rPr>
          <w:rFonts w:ascii="Arial" w:hAnsi="Arial" w:cs="Arial"/>
        </w:rPr>
      </w:pP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 IEC 60364 - Instalacje elektryczne w obiektach budowlanych – norma wieloarkuszowa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lastRenderedPageBreak/>
        <w:t>PN-90/E050123 - Oznaczenia identyfikacyjne przewodów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54 - Systemy sygnalizacji pożarowej.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PN-E-08350-2:1998 - Systemy sygnalizacji poż</w:t>
      </w:r>
      <w:r>
        <w:rPr>
          <w:rStyle w:val="znormal1"/>
          <w:rFonts w:ascii="Arial" w:hAnsi="Arial" w:cs="Arial"/>
          <w:color w:val="auto"/>
          <w:sz w:val="22"/>
          <w:szCs w:val="22"/>
        </w:rPr>
        <w:t>arowej.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PN-93/E-08390. Systemy alarmowe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50130. Systemy alarmowe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50132. Systemy alarmowe – Systemy sygnalizacji włamania.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50132. Systemy alarmowe – Systemy dozorowe CCTV sto</w:t>
      </w:r>
      <w:r>
        <w:rPr>
          <w:rStyle w:val="znormal1"/>
          <w:rFonts w:ascii="Arial" w:hAnsi="Arial" w:cs="Arial"/>
          <w:color w:val="auto"/>
          <w:sz w:val="22"/>
          <w:szCs w:val="22"/>
        </w:rPr>
        <w:t>sowane w zabezpieczeniach.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50134. Systemy alarmowe – Systemy alarmowe osobiste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PN-EN 50136. Systemy alarmowe – Urządzenia i systemy transmisji alarmu – Zestaw norm.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ANSI/TIA/EIA-568-B.2-1: June 2002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Part 2: Balance</w:t>
      </w: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d Twisted Pair Cabling Components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 xml:space="preserve">Addendum 1. Transmission Performance Specifications for 4-pair 100 ohm Category 6 Cabling. </w:t>
      </w:r>
      <w:r>
        <w:rPr>
          <w:rStyle w:val="znormal1"/>
          <w:rFonts w:ascii="Arial" w:hAnsi="Arial" w:cs="Arial"/>
          <w:color w:val="auto"/>
          <w:sz w:val="22"/>
          <w:szCs w:val="22"/>
        </w:rPr>
        <w:t>Uzupełnienie normy amerykańskiej ANSI/TIA/EIA-568-B z roku 2001 ustanowione przez TR-42.7, opisujące wymagania odnoszące się do mie</w:t>
      </w:r>
      <w:r>
        <w:rPr>
          <w:rStyle w:val="znormal1"/>
          <w:rFonts w:ascii="Arial" w:hAnsi="Arial" w:cs="Arial"/>
          <w:color w:val="auto"/>
          <w:sz w:val="22"/>
          <w:szCs w:val="22"/>
        </w:rPr>
        <w:t>dzianych systemów okablowania strukturalnego kategorii 6. Obejmuje szczegółowy opis weryfikacji komponentów kategorii 6 metodą De-Embedded Testing.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ISO/IEC 11801 Second Edition 2002-09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Information technology. Generic cabling for customer premises.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 xml:space="preserve">Norma </w:t>
      </w:r>
      <w:r>
        <w:rPr>
          <w:rStyle w:val="znormal1"/>
          <w:rFonts w:ascii="Arial" w:hAnsi="Arial" w:cs="Arial"/>
          <w:color w:val="auto"/>
          <w:sz w:val="22"/>
          <w:szCs w:val="22"/>
        </w:rPr>
        <w:t>międzynarodowa ustanowiona przez ISO/IEC JTC 1 / S.C. 25 / WG 3, opisująca systemy okablowania strukturalnego, m. in. klasy D, E i F z zastosowaniem komponentów odpowiednio kategorii 5, 6 i 7.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EN 50173-1 Second Edition November 2002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Information technolog</w:t>
      </w:r>
      <w:r>
        <w:rPr>
          <w:rStyle w:val="znormal1"/>
          <w:rFonts w:ascii="Arial" w:hAnsi="Arial" w:cs="Arial"/>
          <w:color w:val="auto"/>
          <w:sz w:val="22"/>
          <w:szCs w:val="22"/>
          <w:lang w:val="en-US"/>
        </w:rPr>
        <w:t>y. Generic cabling systems Part 1: General requirments and office areas.</w:t>
      </w:r>
    </w:p>
    <w:p w:rsidR="00000000" w:rsidRDefault="00CA1E75">
      <w:pPr>
        <w:pStyle w:val="BOMBA"/>
        <w:numPr>
          <w:ilvl w:val="0"/>
          <w:numId w:val="0"/>
        </w:numPr>
        <w:tabs>
          <w:tab w:val="left" w:pos="708"/>
        </w:tabs>
        <w:spacing w:line="240" w:lineRule="auto"/>
        <w:ind w:left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Norma europejska ustanowiona przez CENELEC TC 215, opisująca systemy okablowania strukturalnego z przeznaczeniem głównie do budynków biurowych, m. in. klasy D, E i F z zastosowaniem k</w:t>
      </w:r>
      <w:r>
        <w:rPr>
          <w:rStyle w:val="znormal1"/>
          <w:rFonts w:ascii="Arial" w:hAnsi="Arial" w:cs="Arial"/>
          <w:color w:val="auto"/>
          <w:sz w:val="22"/>
          <w:szCs w:val="22"/>
        </w:rPr>
        <w:t>omponentów odpowiednio kategorii 5, 6 i 7.</w:t>
      </w:r>
    </w:p>
    <w:p w:rsidR="00000000" w:rsidRDefault="00CA1E75">
      <w:pPr>
        <w:ind w:firstLine="0"/>
      </w:pPr>
    </w:p>
    <w:p w:rsidR="00000000" w:rsidRDefault="00CA1E75">
      <w:pPr>
        <w:pStyle w:val="Nagwek"/>
        <w:tabs>
          <w:tab w:val="left" w:pos="708"/>
        </w:tabs>
        <w:rPr>
          <w:rStyle w:val="z11"/>
          <w:sz w:val="22"/>
          <w:szCs w:val="22"/>
        </w:rPr>
      </w:pPr>
      <w:r>
        <w:rPr>
          <w:rStyle w:val="z11"/>
          <w:sz w:val="22"/>
          <w:szCs w:val="22"/>
        </w:rPr>
        <w:t>10.2. Dokumenty</w:t>
      </w:r>
    </w:p>
    <w:p w:rsidR="00000000" w:rsidRDefault="00CA1E75">
      <w:pPr>
        <w:pStyle w:val="abc"/>
        <w:widowControl/>
        <w:spacing w:line="240" w:lineRule="auto"/>
        <w:rPr>
          <w:rFonts w:ascii="Arial" w:hAnsi="Arial" w:cs="Arial"/>
        </w:rPr>
      </w:pP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Ustawa z dnia 7 lipca 1994r – Prawo Budowlane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Rozporządzenie Ministra Infrastruktury z dnia 12 kwietnia 2002r “w sprawie warunków technicznych, jakim powinny odpowiadać budynki i ich usytuowa</w:t>
      </w:r>
      <w:r>
        <w:rPr>
          <w:rStyle w:val="znormal1"/>
          <w:rFonts w:ascii="Arial" w:hAnsi="Arial" w:cs="Arial"/>
          <w:color w:val="auto"/>
          <w:sz w:val="22"/>
          <w:szCs w:val="22"/>
        </w:rPr>
        <w:t>nie”</w:t>
      </w:r>
    </w:p>
    <w:p w:rsidR="00000000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Style w:val="znormal1"/>
          <w:rFonts w:ascii="Arial" w:hAnsi="Arial" w:cs="Arial"/>
          <w:color w:val="auto"/>
          <w:sz w:val="22"/>
          <w:szCs w:val="22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“Warunki techniczne wykonania i odbioru robót budowlanych. Część D : Roboty instalacyjne. Zeszyt 2 : Instalacje elektryczne i piorunochronne w budynkach użyteczności publicznej.” – Wydawca ITB W-wa 2004r.</w:t>
      </w:r>
    </w:p>
    <w:p w:rsidR="00CA1E75" w:rsidRDefault="00CA1E75">
      <w:pPr>
        <w:pStyle w:val="BOMBA"/>
        <w:tabs>
          <w:tab w:val="num" w:pos="284"/>
        </w:tabs>
        <w:spacing w:line="240" w:lineRule="auto"/>
        <w:ind w:left="284" w:hanging="284"/>
        <w:rPr>
          <w:rFonts w:ascii="Arial" w:hAnsi="Arial" w:cs="Arial"/>
          <w:color w:val="auto"/>
        </w:rPr>
      </w:pPr>
      <w:r>
        <w:rPr>
          <w:rStyle w:val="znormal1"/>
          <w:rFonts w:ascii="Arial" w:hAnsi="Arial" w:cs="Arial"/>
          <w:color w:val="auto"/>
          <w:sz w:val="22"/>
          <w:szCs w:val="22"/>
        </w:rPr>
        <w:t>Rozporządzenie Ministra Spraw Wewnę</w:t>
      </w:r>
      <w:r>
        <w:rPr>
          <w:rStyle w:val="znormal1"/>
          <w:rFonts w:ascii="Arial" w:hAnsi="Arial" w:cs="Arial"/>
          <w:color w:val="auto"/>
          <w:sz w:val="22"/>
          <w:szCs w:val="22"/>
        </w:rPr>
        <w:t>trznych i Administracji z dnia 16 czerwca 2003 r. w sprawie ochrony przeciwpożarowej budynków, innych obiektów budowlanych i terenów (Dz. U. Nr 121, poz. 1138).</w:t>
      </w:r>
    </w:p>
    <w:sectPr w:rsidR="00CA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F31"/>
    <w:multiLevelType w:val="multilevel"/>
    <w:tmpl w:val="B954601A"/>
    <w:lvl w:ilvl="0">
      <w:start w:val="1"/>
      <w:numFmt w:val="bullet"/>
      <w:pStyle w:val="BOMBA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27E0B"/>
    <w:multiLevelType w:val="multilevel"/>
    <w:tmpl w:val="612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22EF5"/>
    <w:multiLevelType w:val="multilevel"/>
    <w:tmpl w:val="4D8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80512"/>
    <w:multiLevelType w:val="multilevel"/>
    <w:tmpl w:val="64A6A1B4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D235F1"/>
    <w:multiLevelType w:val="multilevel"/>
    <w:tmpl w:val="28B86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27798"/>
    <w:multiLevelType w:val="multilevel"/>
    <w:tmpl w:val="3B7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48"/>
    <w:rsid w:val="00BA4648"/>
    <w:rsid w:val="00C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669723E-6121-466A-827C-EA2A787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360" w:lineRule="auto"/>
      <w:ind w:firstLine="284"/>
      <w:jc w:val="both"/>
    </w:pPr>
    <w:rPr>
      <w:rFonts w:ascii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spacing w:after="75" w:line="240" w:lineRule="auto"/>
      <w:ind w:firstLine="0"/>
      <w:jc w:val="center"/>
      <w:outlineLvl w:val="0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adjustRightInd w:val="0"/>
      <w:spacing w:line="240" w:lineRule="auto"/>
      <w:ind w:left="709"/>
      <w:jc w:val="center"/>
      <w:outlineLvl w:val="4"/>
    </w:pPr>
    <w:rPr>
      <w:rFonts w:ascii="Arial" w:hAnsi="Arial" w:cs="Arial"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color w:val="000000"/>
      <w:sz w:val="26"/>
      <w:szCs w:val="26"/>
    </w:rPr>
  </w:style>
  <w:style w:type="character" w:customStyle="1" w:styleId="dynamic-style-61">
    <w:name w:val="dynamic-style-61"/>
    <w:basedOn w:val="Domylnaczcionkaakapitu"/>
    <w:uiPriority w:val="99"/>
    <w:rPr>
      <w:rFonts w:ascii="Times New Roman" w:hAnsi="Times New Roman" w:cs="Times New Roman"/>
      <w:color w:val="000000"/>
      <w:spacing w:val="180"/>
      <w:sz w:val="15"/>
      <w:szCs w:val="15"/>
    </w:rPr>
  </w:style>
  <w:style w:type="character" w:customStyle="1" w:styleId="dynamic-style-101">
    <w:name w:val="dynamic-style-101"/>
    <w:basedOn w:val="Domylnaczcionkaakapitu"/>
    <w:uiPriority w:val="99"/>
    <w:rPr>
      <w:rFonts w:ascii="Arial" w:hAnsi="Arial" w:cs="Arial"/>
      <w:color w:val="000000"/>
      <w:spacing w:val="165"/>
      <w:sz w:val="14"/>
      <w:szCs w:val="14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rFonts w:ascii="Arial" w:hAnsi="Arial" w:cs="Arial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pPr>
      <w:widowControl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abc">
    <w:name w:val="a b c"/>
    <w:basedOn w:val="Normalny"/>
    <w:uiPriority w:val="99"/>
    <w:pPr>
      <w:ind w:firstLine="0"/>
    </w:pPr>
  </w:style>
  <w:style w:type="paragraph" w:customStyle="1" w:styleId="BOMBA">
    <w:name w:val="BOMBA"/>
    <w:basedOn w:val="Normalny"/>
    <w:uiPriority w:val="99"/>
    <w:pPr>
      <w:widowControl/>
      <w:numPr>
        <w:numId w:val="1"/>
      </w:numPr>
    </w:pPr>
  </w:style>
  <w:style w:type="character" w:customStyle="1" w:styleId="z11">
    <w:name w:val="z11"/>
    <w:basedOn w:val="Domylnaczcionkaakapitu"/>
    <w:uiPriority w:val="99"/>
    <w:rPr>
      <w:rFonts w:ascii="Times New Roman" w:hAnsi="Times New Roman" w:cs="Times New Roman"/>
      <w:b/>
      <w:bCs/>
      <w:color w:val="000000"/>
      <w:spacing w:val="0"/>
      <w:position w:val="0"/>
      <w:sz w:val="14"/>
      <w:szCs w:val="14"/>
    </w:rPr>
  </w:style>
  <w:style w:type="character" w:customStyle="1" w:styleId="znormal1">
    <w:name w:val="z_normal1"/>
    <w:basedOn w:val="Domylnaczcionkaakapitu"/>
    <w:uiPriority w:val="99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character" w:customStyle="1" w:styleId="z41">
    <w:name w:val="z41"/>
    <w:basedOn w:val="Domylnaczcionkaakapitu"/>
    <w:uiPriority w:val="99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31">
    <w:name w:val="z31"/>
    <w:basedOn w:val="Domylnaczcionkaakapitu"/>
    <w:uiPriority w:val="99"/>
    <w:rPr>
      <w:rFonts w:ascii="Times New Roman" w:hAnsi="Times New Roman" w:cs="Times New Roman"/>
      <w:color w:val="000000"/>
      <w:spacing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Organizacja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Marcin</cp:lastModifiedBy>
  <cp:revision>2</cp:revision>
  <dcterms:created xsi:type="dcterms:W3CDTF">2017-09-11T13:56:00Z</dcterms:created>
  <dcterms:modified xsi:type="dcterms:W3CDTF">2017-09-11T13:56:00Z</dcterms:modified>
</cp:coreProperties>
</file>